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D1257">
      <w:pPr>
        <w:pStyle w:val="NormalWeb"/>
        <w:divId w:val="1672172335"/>
      </w:pPr>
      <w:bookmarkStart w:id="0" w:name="_GoBack"/>
      <w:bookmarkEnd w:id="0"/>
      <w: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000000">
        <w:trPr>
          <w:divId w:val="1672172335"/>
        </w:trPr>
        <w:tc>
          <w:tcPr>
            <w:tcW w:w="0" w:type="auto"/>
            <w:tcMar>
              <w:top w:w="5508" w:type="dxa"/>
              <w:left w:w="15" w:type="dxa"/>
              <w:bottom w:w="15" w:type="dxa"/>
              <w:right w:w="15" w:type="dxa"/>
            </w:tcMar>
            <w:vAlign w:val="center"/>
            <w:hideMark/>
          </w:tcPr>
          <w:p w:rsidR="00000000" w:rsidRDefault="00AD1257">
            <w:pPr>
              <w:pStyle w:val="annexester1"/>
            </w:pPr>
            <w:r>
              <w:t>Charges sociales TNS</w:t>
            </w:r>
          </w:p>
        </w:tc>
      </w:tr>
    </w:tbl>
    <w:p w:rsidR="00000000" w:rsidRDefault="00AD1257">
      <w:pPr>
        <w:pStyle w:val="NormalWeb"/>
        <w:divId w:val="1672172335"/>
      </w:pPr>
      <w:r>
        <w:t xml:space="preserve">  </w:t>
      </w:r>
    </w:p>
    <w:p w:rsidR="00000000" w:rsidRDefault="00AD1257">
      <w:pPr>
        <w:divId w:val="2068333151"/>
        <w:rPr>
          <w:rFonts w:eastAsia="Times New Roman"/>
        </w:rPr>
      </w:pPr>
      <w:r>
        <w:rPr>
          <w:rFonts w:eastAsia="Times New Roman"/>
        </w:rP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10466"/>
      </w:tblGrid>
      <w:tr w:rsidR="00000000">
        <w:trPr>
          <w:divId w:val="2068333151"/>
          <w:jc w:val="center"/>
        </w:trPr>
        <w:tc>
          <w:tcPr>
            <w:tcW w:w="0" w:type="auto"/>
            <w:tcBorders>
              <w:bottom w:val="single" w:sz="12" w:space="0" w:color="808080"/>
            </w:tcBorders>
            <w:shd w:val="clear" w:color="auto" w:fill="F2F2F2"/>
            <w:vAlign w:val="center"/>
            <w:hideMark/>
          </w:tcPr>
          <w:p w:rsidR="00000000" w:rsidRDefault="00AD1257">
            <w:pPr>
              <w:jc w:val="right"/>
              <w:rPr>
                <w:rFonts w:ascii="Calibri" w:eastAsia="Times New Roman" w:hAnsi="Calibri" w:cs="Calibri"/>
                <w:color w:val="808080"/>
                <w:sz w:val="36"/>
                <w:szCs w:val="36"/>
              </w:rPr>
            </w:pPr>
            <w:r>
              <w:rPr>
                <w:rFonts w:ascii="Calibri" w:eastAsia="Times New Roman" w:hAnsi="Calibri" w:cs="Calibri"/>
                <w:color w:val="808080"/>
                <w:sz w:val="36"/>
                <w:szCs w:val="36"/>
              </w:rPr>
              <w:lastRenderedPageBreak/>
              <w:t xml:space="preserve">Charges sociales de Monsieur DOE (INDUSTRIEL / COMMERCANT) </w:t>
            </w:r>
          </w:p>
        </w:tc>
      </w:tr>
      <w:tr w:rsidR="00000000">
        <w:trPr>
          <w:divId w:val="2068333151"/>
          <w:jc w:val="center"/>
        </w:trPr>
        <w:tc>
          <w:tcPr>
            <w:tcW w:w="0" w:type="auto"/>
            <w:tcBorders>
              <w:bottom w:val="nil"/>
            </w:tcBorders>
            <w:shd w:val="clear" w:color="auto" w:fill="FFFFFF"/>
            <w:vAlign w:val="center"/>
            <w:hideMark/>
          </w:tcPr>
          <w:p w:rsidR="00000000" w:rsidRDefault="00AD1257">
            <w:pPr>
              <w:jc w:val="right"/>
              <w:rPr>
                <w:rFonts w:ascii="Calibri" w:eastAsia="Times New Roman" w:hAnsi="Calibri" w:cs="Calibri"/>
                <w:i/>
                <w:iCs/>
                <w:color w:val="000045"/>
                <w:sz w:val="28"/>
                <w:szCs w:val="28"/>
              </w:rPr>
            </w:pPr>
            <w:r>
              <w:rPr>
                <w:rFonts w:ascii="Calibri" w:eastAsia="Times New Roman" w:hAnsi="Calibri" w:cs="Calibri"/>
                <w:i/>
                <w:iCs/>
                <w:color w:val="000045"/>
                <w:sz w:val="28"/>
                <w:szCs w:val="28"/>
              </w:rPr>
              <w:t>Cotisations 2018 calculées sur le revenu de l'année 2017</w:t>
            </w:r>
          </w:p>
        </w:tc>
      </w:tr>
    </w:tbl>
    <w:p w:rsidR="00000000" w:rsidRDefault="00AD1257">
      <w:pPr>
        <w:spacing w:after="240"/>
        <w:divId w:val="2068333151"/>
        <w:rPr>
          <w:rFonts w:eastAsia="Times New Roman"/>
        </w:rPr>
      </w:pPr>
    </w:p>
    <w:tbl>
      <w:tblPr>
        <w:tblW w:w="10000" w:type="dxa"/>
        <w:jc w:val="center"/>
        <w:tblCellMar>
          <w:top w:w="60" w:type="dxa"/>
          <w:left w:w="60" w:type="dxa"/>
          <w:bottom w:w="60" w:type="dxa"/>
          <w:right w:w="60" w:type="dxa"/>
        </w:tblCellMar>
        <w:tblLook w:val="04A0" w:firstRow="1" w:lastRow="0" w:firstColumn="1" w:lastColumn="0" w:noHBand="0" w:noVBand="1"/>
      </w:tblPr>
      <w:tblGrid>
        <w:gridCol w:w="8490"/>
        <w:gridCol w:w="1510"/>
      </w:tblGrid>
      <w:tr w:rsidR="00000000">
        <w:trPr>
          <w:divId w:val="2068333151"/>
          <w:trHeight w:val="85"/>
          <w:jc w:val="center"/>
        </w:trPr>
        <w:tc>
          <w:tcPr>
            <w:tcW w:w="0" w:type="auto"/>
            <w:gridSpan w:val="2"/>
            <w:tcBorders>
              <w:top w:val="single" w:sz="6" w:space="0" w:color="ADD8E6"/>
              <w:bottom w:val="single" w:sz="6" w:space="0" w:color="ADD8E6"/>
            </w:tcBorders>
            <w:vAlign w:val="center"/>
            <w:hideMark/>
          </w:tcPr>
          <w:p w:rsidR="00000000" w:rsidRDefault="00AD1257">
            <w:pPr>
              <w:rPr>
                <w:rFonts w:ascii="Arial" w:eastAsia="Times New Roman" w:hAnsi="Arial" w:cs="Arial"/>
                <w:b/>
                <w:bCs/>
                <w:color w:val="808080"/>
                <w:sz w:val="20"/>
                <w:szCs w:val="20"/>
              </w:rPr>
            </w:pPr>
            <w:r>
              <w:rPr>
                <w:rFonts w:ascii="Arial" w:eastAsia="Times New Roman" w:hAnsi="Arial" w:cs="Arial"/>
                <w:b/>
                <w:bCs/>
                <w:color w:val="808080"/>
                <w:sz w:val="20"/>
                <w:szCs w:val="20"/>
              </w:rPr>
              <w:t>MONTANTS DECLARES POUR L'ANNEE 2017</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 xml:space="preserve">Revenus professionnels non-salariés </w:t>
            </w:r>
            <w:r>
              <w:rPr>
                <w:rFonts w:ascii="Arial" w:eastAsia="Times New Roman" w:hAnsi="Arial" w:cs="Arial"/>
                <w:sz w:val="14"/>
                <w:szCs w:val="14"/>
              </w:rPr>
              <w:br/>
            </w:r>
            <w:r>
              <w:rPr>
                <w:rFonts w:ascii="Arial" w:eastAsia="Times New Roman" w:hAnsi="Arial" w:cs="Arial"/>
                <w:i/>
                <w:iCs/>
                <w:sz w:val="14"/>
                <w:szCs w:val="14"/>
              </w:rPr>
              <w:t>(dont revenus de remplacement et cotisations facultatives)</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83 066 €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 xml:space="preserve">Cotisations sociales personnelles obligatoires </w:t>
            </w:r>
            <w:r>
              <w:rPr>
                <w:rFonts w:ascii="Arial" w:eastAsia="Times New Roman" w:hAnsi="Arial" w:cs="Arial"/>
                <w:sz w:val="14"/>
                <w:szCs w:val="14"/>
              </w:rPr>
              <w:br/>
            </w:r>
            <w:r>
              <w:rPr>
                <w:rFonts w:ascii="Arial" w:eastAsia="Times New Roman" w:hAnsi="Arial" w:cs="Arial"/>
                <w:i/>
                <w:iCs/>
                <w:sz w:val="14"/>
                <w:szCs w:val="14"/>
              </w:rPr>
              <w:t>(Hors CSG - CRDS)</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22 654 € </w:t>
            </w:r>
          </w:p>
        </w:tc>
      </w:tr>
    </w:tbl>
    <w:p w:rsidR="00000000" w:rsidRDefault="00AD1257">
      <w:pPr>
        <w:spacing w:after="240"/>
        <w:divId w:val="2068333151"/>
        <w:rPr>
          <w:rFonts w:eastAsia="Times New Roman"/>
        </w:rPr>
      </w:pPr>
    </w:p>
    <w:tbl>
      <w:tblPr>
        <w:tblW w:w="10000" w:type="dxa"/>
        <w:jc w:val="center"/>
        <w:tblCellMar>
          <w:top w:w="60" w:type="dxa"/>
          <w:left w:w="60" w:type="dxa"/>
          <w:bottom w:w="60" w:type="dxa"/>
          <w:right w:w="60" w:type="dxa"/>
        </w:tblCellMar>
        <w:tblLook w:val="04A0" w:firstRow="1" w:lastRow="0" w:firstColumn="1" w:lastColumn="0" w:noHBand="0" w:noVBand="1"/>
      </w:tblPr>
      <w:tblGrid>
        <w:gridCol w:w="3386"/>
        <w:gridCol w:w="943"/>
        <w:gridCol w:w="590"/>
        <w:gridCol w:w="1417"/>
        <w:gridCol w:w="1335"/>
        <w:gridCol w:w="1386"/>
        <w:gridCol w:w="943"/>
      </w:tblGrid>
      <w:tr w:rsidR="00000000">
        <w:trPr>
          <w:divId w:val="2068333151"/>
          <w:trHeight w:val="85"/>
          <w:jc w:val="center"/>
        </w:trPr>
        <w:tc>
          <w:tcPr>
            <w:tcW w:w="0" w:type="auto"/>
            <w:gridSpan w:val="7"/>
            <w:tcBorders>
              <w:top w:val="single" w:sz="6" w:space="0" w:color="ADD8E6"/>
              <w:bottom w:val="single" w:sz="6" w:space="0" w:color="ADD8E6"/>
            </w:tcBorders>
            <w:vAlign w:val="center"/>
            <w:hideMark/>
          </w:tcPr>
          <w:p w:rsidR="00000000" w:rsidRDefault="00AD1257">
            <w:pPr>
              <w:rPr>
                <w:rFonts w:ascii="Arial" w:eastAsia="Times New Roman" w:hAnsi="Arial" w:cs="Arial"/>
                <w:b/>
                <w:bCs/>
                <w:color w:val="808080"/>
                <w:sz w:val="20"/>
                <w:szCs w:val="20"/>
              </w:rPr>
            </w:pPr>
            <w:r>
              <w:rPr>
                <w:rFonts w:ascii="Arial" w:eastAsia="Times New Roman" w:hAnsi="Arial" w:cs="Arial"/>
                <w:b/>
                <w:bCs/>
                <w:color w:val="808080"/>
                <w:sz w:val="20"/>
                <w:szCs w:val="20"/>
              </w:rPr>
              <w:t>MONTANTS DETAILLES DES COTISATIONS 2018</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b/>
                <w:bCs/>
                <w:sz w:val="14"/>
                <w:szCs w:val="14"/>
              </w:rPr>
            </w:pPr>
            <w:r>
              <w:rPr>
                <w:rFonts w:ascii="Arial" w:eastAsia="Times New Roman" w:hAnsi="Arial" w:cs="Arial"/>
                <w:b/>
                <w:bCs/>
                <w:sz w:val="14"/>
                <w:szCs w:val="14"/>
              </w:rPr>
              <w:t>Cotisations / Contributions</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Assiette retenue</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Taux (%)</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Montant avant exonération</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Nature de l'exonération</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Montant de l'exonération</w:t>
            </w:r>
          </w:p>
        </w:tc>
        <w:tc>
          <w:tcPr>
            <w:tcW w:w="0" w:type="auto"/>
            <w:tcBorders>
              <w:bottom w:val="single" w:sz="6" w:space="0" w:color="ADD8E6"/>
            </w:tcBorders>
            <w:vAlign w:val="center"/>
            <w:hideMark/>
          </w:tcPr>
          <w:p w:rsidR="00000000" w:rsidRDefault="00AD1257">
            <w:pPr>
              <w:jc w:val="right"/>
              <w:rPr>
                <w:rFonts w:ascii="Arial" w:eastAsia="Times New Roman" w:hAnsi="Arial" w:cs="Arial"/>
                <w:b/>
                <w:bCs/>
                <w:sz w:val="14"/>
                <w:szCs w:val="14"/>
              </w:rPr>
            </w:pPr>
            <w:r>
              <w:rPr>
                <w:rFonts w:ascii="Arial" w:eastAsia="Times New Roman" w:hAnsi="Arial" w:cs="Arial"/>
                <w:b/>
                <w:bCs/>
                <w:sz w:val="14"/>
                <w:szCs w:val="14"/>
              </w:rPr>
              <w:t>MONTANT DU</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Maladie-Maternité</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83 066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6,50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5 399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5 399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Indemnités journalières dans la limite de 198 660 €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83 066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0,70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581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581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Allocations familiales</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83 066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3,10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2 575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2 575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Retraite de base dans la limite de 39 732 €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39 732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17,75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7 052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7 052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Retraite de base au-delà de 39 732 €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43 334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0,60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260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260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Retraite complémentaire dans la limite de 37 546 €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37 546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7,00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2 628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2 628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Retraite complémentaire dans la limite de 158 928 €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45 520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8,00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3 642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3 642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Invalidité-Décès dans la limite de 39 732 €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39 732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1,30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517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517 </w:t>
            </w:r>
          </w:p>
        </w:tc>
      </w:tr>
      <w:tr w:rsidR="00000000">
        <w:trPr>
          <w:divId w:val="2068333151"/>
          <w:trHeight w:val="85"/>
          <w:jc w:val="center"/>
        </w:trPr>
        <w:tc>
          <w:tcPr>
            <w:tcW w:w="0" w:type="auto"/>
            <w:gridSpan w:val="3"/>
            <w:tcBorders>
              <w:bottom w:val="single" w:sz="6" w:space="0" w:color="ADD8E6"/>
            </w:tcBorders>
            <w:vAlign w:val="center"/>
            <w:hideMark/>
          </w:tcPr>
          <w:p w:rsidR="00000000" w:rsidRDefault="00AD1257">
            <w:pPr>
              <w:pStyle w:val="NormalWeb"/>
              <w:jc w:val="right"/>
              <w:rPr>
                <w:rFonts w:ascii="Arial" w:hAnsi="Arial" w:cs="Arial"/>
                <w:sz w:val="14"/>
                <w:szCs w:val="14"/>
              </w:rPr>
            </w:pPr>
            <w:r>
              <w:rPr>
                <w:rStyle w:val="lev"/>
                <w:rFonts w:ascii="Arial" w:hAnsi="Arial" w:cs="Arial"/>
                <w:sz w:val="14"/>
                <w:szCs w:val="14"/>
              </w:rPr>
              <w:t>TOTAL COTISATIONS SOCIALES PERSONNELLES OBLIGATOIRES</w:t>
            </w:r>
            <w:r>
              <w:rPr>
                <w:rFonts w:ascii="Arial" w:hAnsi="Arial" w:cs="Arial"/>
                <w:sz w:val="14"/>
                <w:szCs w:val="14"/>
              </w:rPr>
              <w:t xml:space="preserve">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b/>
                <w:bCs/>
                <w:sz w:val="14"/>
                <w:szCs w:val="14"/>
              </w:rPr>
              <w:t xml:space="preserve">22 654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b/>
                <w:bCs/>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b/>
                <w:bCs/>
                <w:sz w:val="14"/>
                <w:szCs w:val="14"/>
              </w:rPr>
              <w:t xml:space="preserve">22 654 </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 xml:space="preserve">CSG/CRDS sur revenu d'activité et sur cotisations sociales personnelles obligatoires (1)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105 720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9,70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10 255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(2) 10 255</w:t>
            </w:r>
          </w:p>
        </w:tc>
      </w:tr>
      <w:tr w:rsidR="00000000">
        <w:trPr>
          <w:divId w:val="2068333151"/>
          <w:trHeight w:val="85"/>
          <w:jc w:val="center"/>
        </w:trPr>
        <w:tc>
          <w:tcPr>
            <w:tcW w:w="0" w:type="auto"/>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 xml:space="preserve">Formation professionnelle </w:t>
            </w:r>
            <w:r>
              <w:rPr>
                <w:rFonts w:ascii="Arial" w:eastAsia="Times New Roman" w:hAnsi="Arial" w:cs="Arial"/>
                <w:i/>
                <w:iCs/>
                <w:sz w:val="14"/>
                <w:szCs w:val="14"/>
              </w:rPr>
              <w:t>(base forfaitaire)</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39 228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0,25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98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p>
        </w:tc>
        <w:tc>
          <w:tcPr>
            <w:tcW w:w="0" w:type="auto"/>
            <w:tcBorders>
              <w:bottom w:val="single" w:sz="6" w:space="0" w:color="ADD8E6"/>
            </w:tcBorders>
            <w:vAlign w:val="center"/>
            <w:hideMark/>
          </w:tcPr>
          <w:p w:rsidR="00000000" w:rsidRDefault="00AD1257">
            <w:pPr>
              <w:jc w:val="right"/>
              <w:rPr>
                <w:rFonts w:eastAsia="Times New Roman"/>
                <w:sz w:val="20"/>
                <w:szCs w:val="20"/>
              </w:rPr>
            </w:pP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98 </w:t>
            </w:r>
          </w:p>
        </w:tc>
      </w:tr>
      <w:tr w:rsidR="00000000">
        <w:trPr>
          <w:divId w:val="2068333151"/>
          <w:trHeight w:val="85"/>
          <w:jc w:val="center"/>
        </w:trPr>
        <w:tc>
          <w:tcPr>
            <w:tcW w:w="0" w:type="auto"/>
            <w:gridSpan w:val="6"/>
            <w:tcBorders>
              <w:bottom w:val="single" w:sz="6" w:space="0" w:color="ADD8E6"/>
            </w:tcBorders>
            <w:vAlign w:val="center"/>
            <w:hideMark/>
          </w:tcPr>
          <w:p w:rsidR="00000000" w:rsidRDefault="00AD1257">
            <w:pPr>
              <w:pStyle w:val="NormalWeb"/>
              <w:jc w:val="right"/>
              <w:rPr>
                <w:rFonts w:ascii="Arial" w:hAnsi="Arial" w:cs="Arial"/>
                <w:sz w:val="14"/>
                <w:szCs w:val="14"/>
              </w:rPr>
            </w:pPr>
            <w:r>
              <w:rPr>
                <w:rFonts w:ascii="Arial" w:hAnsi="Arial" w:cs="Arial"/>
                <w:sz w:val="14"/>
                <w:szCs w:val="14"/>
              </w:rPr>
              <w:t xml:space="preserve">TOTAL (hors régularisation)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33 007 € </w:t>
            </w:r>
          </w:p>
        </w:tc>
      </w:tr>
      <w:tr w:rsidR="00000000">
        <w:trPr>
          <w:divId w:val="2068333151"/>
          <w:trHeight w:val="85"/>
          <w:jc w:val="center"/>
        </w:trPr>
        <w:tc>
          <w:tcPr>
            <w:tcW w:w="0" w:type="auto"/>
            <w:gridSpan w:val="6"/>
            <w:tcBorders>
              <w:bottom w:val="single" w:sz="6" w:space="0" w:color="ADD8E6"/>
            </w:tcBorders>
            <w:vAlign w:val="center"/>
            <w:hideMark/>
          </w:tcPr>
          <w:p w:rsidR="00000000" w:rsidRDefault="00AD1257">
            <w:pPr>
              <w:pStyle w:val="NormalWeb"/>
              <w:jc w:val="right"/>
              <w:rPr>
                <w:rFonts w:ascii="Arial" w:hAnsi="Arial" w:cs="Arial"/>
                <w:sz w:val="14"/>
                <w:szCs w:val="14"/>
              </w:rPr>
            </w:pPr>
            <w:r>
              <w:rPr>
                <w:rFonts w:ascii="Arial" w:hAnsi="Arial" w:cs="Arial"/>
                <w:sz w:val="14"/>
                <w:szCs w:val="14"/>
              </w:rPr>
              <w:t>Régularisation année 2017</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Fonts w:ascii="Arial" w:eastAsia="Times New Roman" w:hAnsi="Arial" w:cs="Arial"/>
                <w:sz w:val="14"/>
                <w:szCs w:val="14"/>
              </w:rPr>
              <w:t xml:space="preserve">0 € </w:t>
            </w:r>
          </w:p>
        </w:tc>
      </w:tr>
      <w:tr w:rsidR="00000000">
        <w:trPr>
          <w:divId w:val="2068333151"/>
          <w:trHeight w:val="85"/>
          <w:jc w:val="center"/>
        </w:trPr>
        <w:tc>
          <w:tcPr>
            <w:tcW w:w="0" w:type="auto"/>
            <w:gridSpan w:val="6"/>
            <w:tcBorders>
              <w:bottom w:val="single" w:sz="6" w:space="0" w:color="ADD8E6"/>
            </w:tcBorders>
            <w:vAlign w:val="center"/>
            <w:hideMark/>
          </w:tcPr>
          <w:p w:rsidR="00000000" w:rsidRDefault="00AD1257">
            <w:pPr>
              <w:pStyle w:val="NormalWeb"/>
              <w:jc w:val="right"/>
              <w:rPr>
                <w:rFonts w:ascii="Arial" w:hAnsi="Arial" w:cs="Arial"/>
                <w:sz w:val="14"/>
                <w:szCs w:val="14"/>
              </w:rPr>
            </w:pPr>
            <w:r>
              <w:rPr>
                <w:rStyle w:val="lev"/>
                <w:rFonts w:ascii="Arial" w:hAnsi="Arial" w:cs="Arial"/>
                <w:sz w:val="14"/>
                <w:szCs w:val="14"/>
              </w:rPr>
              <w:t>TOTAL</w:t>
            </w:r>
            <w:r>
              <w:rPr>
                <w:rFonts w:ascii="Arial" w:hAnsi="Arial" w:cs="Arial"/>
                <w:sz w:val="14"/>
                <w:szCs w:val="14"/>
              </w:rPr>
              <w:t xml:space="preserve"> </w:t>
            </w:r>
          </w:p>
        </w:tc>
        <w:tc>
          <w:tcPr>
            <w:tcW w:w="0" w:type="auto"/>
            <w:tcBorders>
              <w:bottom w:val="single" w:sz="6" w:space="0" w:color="ADD8E6"/>
            </w:tcBorders>
            <w:vAlign w:val="center"/>
            <w:hideMark/>
          </w:tcPr>
          <w:p w:rsidR="00000000" w:rsidRDefault="00AD1257">
            <w:pPr>
              <w:jc w:val="right"/>
              <w:rPr>
                <w:rFonts w:ascii="Arial" w:eastAsia="Times New Roman" w:hAnsi="Arial" w:cs="Arial"/>
                <w:sz w:val="14"/>
                <w:szCs w:val="14"/>
              </w:rPr>
            </w:pPr>
            <w:r>
              <w:rPr>
                <w:rStyle w:val="lev"/>
                <w:rFonts w:ascii="Arial" w:eastAsia="Times New Roman" w:hAnsi="Arial" w:cs="Arial"/>
                <w:sz w:val="14"/>
                <w:szCs w:val="14"/>
              </w:rPr>
              <w:t xml:space="preserve">33 007 € </w:t>
            </w:r>
          </w:p>
        </w:tc>
      </w:tr>
      <w:tr w:rsidR="00000000">
        <w:trPr>
          <w:divId w:val="2068333151"/>
          <w:trHeight w:val="85"/>
          <w:jc w:val="center"/>
        </w:trPr>
        <w:tc>
          <w:tcPr>
            <w:tcW w:w="0" w:type="auto"/>
            <w:gridSpan w:val="7"/>
            <w:tcBorders>
              <w:bottom w:val="single" w:sz="6" w:space="0" w:color="ADD8E6"/>
            </w:tcBorders>
            <w:vAlign w:val="center"/>
            <w:hideMark/>
          </w:tcPr>
          <w:p w:rsidR="00000000" w:rsidRDefault="00AD1257">
            <w:pPr>
              <w:rPr>
                <w:rFonts w:ascii="Arial" w:eastAsia="Times New Roman" w:hAnsi="Arial" w:cs="Arial"/>
                <w:sz w:val="14"/>
                <w:szCs w:val="14"/>
              </w:rPr>
            </w:pPr>
            <w:r>
              <w:rPr>
                <w:rFonts w:ascii="Arial" w:eastAsia="Times New Roman" w:hAnsi="Arial" w:cs="Arial"/>
                <w:sz w:val="14"/>
                <w:szCs w:val="14"/>
              </w:rPr>
              <w:t xml:space="preserve">(1) La base de calcul de la CSG / CRDS est la somme entre le revenu professionnel (83 066 €) et le montant des cotisations sociales hors CSG / CRDS (22 654 €). </w:t>
            </w:r>
            <w:r>
              <w:rPr>
                <w:rFonts w:ascii="Arial" w:eastAsia="Times New Roman" w:hAnsi="Arial" w:cs="Arial"/>
                <w:sz w:val="14"/>
                <w:szCs w:val="14"/>
              </w:rPr>
              <w:br/>
              <w:t>(2) Le montant de la CSG déductible</w:t>
            </w:r>
            <w:r>
              <w:rPr>
                <w:rFonts w:ascii="Arial" w:eastAsia="Times New Roman" w:hAnsi="Arial" w:cs="Arial"/>
                <w:sz w:val="14"/>
                <w:szCs w:val="14"/>
              </w:rPr>
              <w:t xml:space="preserve"> est de 7 189 €</w:t>
            </w:r>
          </w:p>
        </w:tc>
      </w:tr>
    </w:tbl>
    <w:p w:rsidR="00000000" w:rsidRDefault="00AD1257">
      <w:pPr>
        <w:pStyle w:val="textebis"/>
        <w:divId w:val="2068333151"/>
      </w:pPr>
      <w:r>
        <w:rPr>
          <w:u w:val="single"/>
        </w:rPr>
        <w:t>Base de calcul des charges sociales (hors CSG / CRDS)</w:t>
      </w:r>
      <w:r>
        <w:t> : La cotisation porte sur l’ensemble des revenus professionnels des activités non salariées, non agricoles. Le revenu professionnel se définit comme étant celui retenu pour le calcul de l’impôt sur le revenu, avant application, notamment de la déduction d</w:t>
      </w:r>
      <w:r>
        <w:t xml:space="preserve">es cotisations sociales complémentaires facultatives autorisée par l’article 154 bis – I, al. 2 du CGI (Loi Madelin). </w:t>
      </w:r>
    </w:p>
    <w:p w:rsidR="00AD1257" w:rsidRDefault="00AD1257">
      <w:pPr>
        <w:pStyle w:val="textebis"/>
        <w:divId w:val="2068333151"/>
      </w:pPr>
      <w:r>
        <w:rPr>
          <w:u w:val="single"/>
        </w:rPr>
        <w:t>Base de calcul de la CSG / CRDS</w:t>
      </w:r>
      <w:r>
        <w:t> : Le revenu professionnel servant d’assiette à la CSG et à la CRDS est le même que pour la cotisation per</w:t>
      </w:r>
      <w:r>
        <w:t>sonnelle d’allocations familiales. Il y a lieu toutefois de réintégrer dans la base des contributions les cotisations personnelles de sécurité sociale de l’exploitant et de son conjoint, lorsqu’elles sont déductibles à la fois de l’assiette fiscale et de c</w:t>
      </w:r>
      <w:r>
        <w:t xml:space="preserve">elle de la cotisation d’allocations familiales. </w:t>
      </w:r>
    </w:p>
    <w:sectPr w:rsidR="00AD1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32E2"/>
    <w:rsid w:val="00AD1257"/>
    <w:rsid w:val="00E03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2FEB6D-71D8-4210-9832-DB06A5D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tude">
    <w:name w:val="etude"/>
    <w:basedOn w:val="Normal"/>
    <w:pPr>
      <w:spacing w:before="100" w:beforeAutospacing="1" w:after="100" w:afterAutospacing="1"/>
    </w:pPr>
    <w:rPr>
      <w:rFonts w:ascii="Calibri" w:hAnsi="Calibri" w:cs="Calibri"/>
      <w:color w:val="808080"/>
      <w:sz w:val="84"/>
      <w:szCs w:val="84"/>
    </w:rPr>
  </w:style>
  <w:style w:type="paragraph" w:customStyle="1" w:styleId="annexes">
    <w:name w:val="annexes"/>
    <w:basedOn w:val="Normal"/>
    <w:pPr>
      <w:pBdr>
        <w:bottom w:val="single" w:sz="12" w:space="0" w:color="808080"/>
      </w:pBdr>
      <w:shd w:val="clear" w:color="auto" w:fill="FFFFFF"/>
      <w:spacing w:before="100" w:beforeAutospacing="1" w:after="100" w:afterAutospacing="1"/>
    </w:pPr>
    <w:rPr>
      <w:rFonts w:ascii="Calibri" w:hAnsi="Calibri" w:cs="Calibri"/>
      <w:color w:val="808080"/>
      <w:sz w:val="84"/>
      <w:szCs w:val="84"/>
    </w:rPr>
  </w:style>
  <w:style w:type="paragraph" w:customStyle="1" w:styleId="annexesbis">
    <w:name w:val="annexesbis"/>
    <w:basedOn w:val="Normal"/>
    <w:pPr>
      <w:spacing w:before="100" w:beforeAutospacing="1" w:after="100" w:afterAutospacing="1"/>
      <w:jc w:val="center"/>
    </w:pPr>
    <w:rPr>
      <w:rFonts w:ascii="Calibri" w:hAnsi="Calibri" w:cs="Calibri"/>
      <w:color w:val="808080"/>
      <w:sz w:val="72"/>
      <w:szCs w:val="72"/>
    </w:rPr>
  </w:style>
  <w:style w:type="paragraph" w:customStyle="1" w:styleId="annexester">
    <w:name w:val="annexester"/>
    <w:basedOn w:val="Normal"/>
    <w:pPr>
      <w:shd w:val="clear" w:color="auto" w:fill="FFFFFF"/>
      <w:spacing w:before="100" w:beforeAutospacing="1" w:after="100" w:afterAutospacing="1"/>
      <w:jc w:val="right"/>
    </w:pPr>
    <w:rPr>
      <w:rFonts w:ascii="Calibri" w:hAnsi="Calibri" w:cs="Calibri"/>
      <w:color w:val="808080"/>
      <w:sz w:val="52"/>
      <w:szCs w:val="52"/>
    </w:rPr>
  </w:style>
  <w:style w:type="paragraph" w:customStyle="1" w:styleId="presentation">
    <w:name w:val="presentation"/>
    <w:basedOn w:val="Normal"/>
    <w:pPr>
      <w:spacing w:before="100" w:beforeAutospacing="1" w:after="100" w:afterAutospacing="1"/>
    </w:pPr>
    <w:rPr>
      <w:rFonts w:ascii="Arial" w:hAnsi="Arial" w:cs="Arial"/>
      <w:color w:val="808080"/>
      <w:sz w:val="28"/>
      <w:szCs w:val="28"/>
    </w:rPr>
  </w:style>
  <w:style w:type="paragraph" w:customStyle="1" w:styleId="presentation2">
    <w:name w:val="presentation2"/>
    <w:basedOn w:val="Normal"/>
    <w:pPr>
      <w:spacing w:before="100" w:beforeAutospacing="1" w:after="100" w:afterAutospacing="1"/>
    </w:pPr>
    <w:rPr>
      <w:rFonts w:ascii="Arial" w:hAnsi="Arial" w:cs="Arial"/>
      <w:color w:val="000000"/>
    </w:rPr>
  </w:style>
  <w:style w:type="paragraph" w:customStyle="1" w:styleId="presentation3">
    <w:name w:val="presentation3"/>
    <w:basedOn w:val="Normal"/>
    <w:pPr>
      <w:spacing w:before="100" w:beforeAutospacing="1" w:after="100" w:afterAutospacing="1"/>
    </w:pPr>
    <w:rPr>
      <w:rFonts w:ascii="Arial" w:hAnsi="Arial" w:cs="Arial"/>
      <w:color w:val="000000"/>
      <w:sz w:val="22"/>
      <w:szCs w:val="22"/>
    </w:rPr>
  </w:style>
  <w:style w:type="paragraph" w:customStyle="1" w:styleId="titre">
    <w:name w:val="titre"/>
    <w:basedOn w:val="Normal"/>
    <w:rPr>
      <w:rFonts w:ascii="Calibri" w:hAnsi="Calibri" w:cs="Calibri"/>
      <w:b/>
      <w:bCs/>
      <w:color w:val="808080"/>
      <w:sz w:val="52"/>
      <w:szCs w:val="52"/>
    </w:rPr>
  </w:style>
  <w:style w:type="paragraph" w:customStyle="1" w:styleId="titrepresentation">
    <w:name w:val="titrepresentation"/>
    <w:basedOn w:val="Normal"/>
    <w:pPr>
      <w:spacing w:before="100" w:beforeAutospacing="1" w:after="100" w:afterAutospacing="1"/>
    </w:pPr>
    <w:rPr>
      <w:rFonts w:ascii="Calibri" w:hAnsi="Calibri" w:cs="Calibri"/>
      <w:color w:val="808080"/>
      <w:sz w:val="52"/>
      <w:szCs w:val="52"/>
    </w:rPr>
  </w:style>
  <w:style w:type="paragraph" w:customStyle="1" w:styleId="titrepresentationbis">
    <w:name w:val="titrepresentationbis"/>
    <w:basedOn w:val="Normal"/>
    <w:pPr>
      <w:spacing w:before="100" w:beforeAutospacing="1" w:after="100" w:afterAutospacing="1"/>
      <w:jc w:val="right"/>
    </w:pPr>
    <w:rPr>
      <w:rFonts w:ascii="Calibri" w:hAnsi="Calibri" w:cs="Calibri"/>
      <w:color w:val="808080"/>
      <w:sz w:val="44"/>
      <w:szCs w:val="44"/>
    </w:rPr>
  </w:style>
  <w:style w:type="paragraph" w:customStyle="1" w:styleId="titrepresentationlettremission">
    <w:name w:val="titrepresentationlettremission"/>
    <w:basedOn w:val="Normal"/>
    <w:pPr>
      <w:spacing w:before="100" w:beforeAutospacing="1" w:after="100" w:afterAutospacing="1"/>
    </w:pPr>
    <w:rPr>
      <w:rFonts w:ascii="Arial" w:hAnsi="Arial" w:cs="Arial"/>
      <w:color w:val="000000"/>
      <w:sz w:val="52"/>
      <w:szCs w:val="52"/>
    </w:rPr>
  </w:style>
  <w:style w:type="paragraph" w:customStyle="1" w:styleId="soustitre">
    <w:name w:val="soustitre"/>
    <w:basedOn w:val="Normal"/>
    <w:pPr>
      <w:spacing w:before="100" w:beforeAutospacing="1" w:after="100" w:afterAutospacing="1"/>
      <w:jc w:val="right"/>
    </w:pPr>
    <w:rPr>
      <w:rFonts w:ascii="Calibri" w:hAnsi="Calibri" w:cs="Calibri"/>
      <w:i/>
      <w:iCs/>
      <w:color w:val="808080"/>
      <w:sz w:val="28"/>
      <w:szCs w:val="28"/>
    </w:rPr>
  </w:style>
  <w:style w:type="paragraph" w:customStyle="1" w:styleId="soustitrebis">
    <w:name w:val="soustitrebis"/>
    <w:basedOn w:val="Normal"/>
    <w:pPr>
      <w:spacing w:before="100" w:beforeAutospacing="1" w:after="100" w:afterAutospacing="1"/>
    </w:pPr>
    <w:rPr>
      <w:rFonts w:ascii="Arial" w:hAnsi="Arial" w:cs="Arial"/>
      <w:b/>
      <w:bCs/>
      <w:color w:val="808080"/>
    </w:rPr>
  </w:style>
  <w:style w:type="paragraph" w:customStyle="1" w:styleId="soustitretableau">
    <w:name w:val="soustitretableau"/>
    <w:basedOn w:val="Normal"/>
    <w:pPr>
      <w:spacing w:before="100" w:beforeAutospacing="1" w:after="100" w:afterAutospacing="1"/>
    </w:pPr>
    <w:rPr>
      <w:rFonts w:ascii="Calibri" w:hAnsi="Calibri" w:cs="Calibri"/>
      <w:b/>
      <w:bCs/>
      <w:color w:val="808080"/>
      <w:sz w:val="28"/>
      <w:szCs w:val="28"/>
    </w:rPr>
  </w:style>
  <w:style w:type="paragraph" w:customStyle="1" w:styleId="rubrique">
    <w:name w:val="rubrique"/>
    <w:basedOn w:val="Normal"/>
    <w:pPr>
      <w:spacing w:before="100" w:beforeAutospacing="1" w:after="100" w:afterAutospacing="1"/>
    </w:pPr>
    <w:rPr>
      <w:rFonts w:ascii="Calibri" w:hAnsi="Calibri" w:cs="Calibri"/>
      <w:color w:val="808080"/>
    </w:rPr>
  </w:style>
  <w:style w:type="paragraph" w:customStyle="1" w:styleId="sousrubrique">
    <w:name w:val="sousrubrique"/>
    <w:basedOn w:val="Normal"/>
    <w:pPr>
      <w:spacing w:before="100" w:beforeAutospacing="1" w:after="100" w:afterAutospacing="1"/>
    </w:pPr>
    <w:rPr>
      <w:rFonts w:ascii="Calibri" w:hAnsi="Calibri" w:cs="Calibri"/>
      <w:i/>
      <w:iCs/>
      <w:color w:val="808080"/>
    </w:rPr>
  </w:style>
  <w:style w:type="paragraph" w:customStyle="1" w:styleId="date">
    <w:name w:val="date"/>
    <w:basedOn w:val="Normal"/>
    <w:pPr>
      <w:spacing w:before="100" w:beforeAutospacing="1" w:after="100" w:afterAutospacing="1"/>
      <w:jc w:val="right"/>
    </w:pPr>
    <w:rPr>
      <w:rFonts w:ascii="Arial" w:hAnsi="Arial" w:cs="Arial"/>
      <w:color w:val="000000"/>
    </w:rPr>
  </w:style>
  <w:style w:type="paragraph" w:customStyle="1" w:styleId="lettre">
    <w:name w:val="lettre"/>
    <w:basedOn w:val="Normal"/>
    <w:pPr>
      <w:spacing w:before="100" w:beforeAutospacing="1" w:after="100" w:afterAutospacing="1"/>
      <w:jc w:val="both"/>
    </w:pPr>
    <w:rPr>
      <w:rFonts w:ascii="Calibri" w:hAnsi="Calibri" w:cs="Calibri"/>
      <w:i/>
      <w:iCs/>
      <w:color w:val="000000"/>
      <w:sz w:val="28"/>
      <w:szCs w:val="28"/>
    </w:rPr>
  </w:style>
  <w:style w:type="paragraph" w:customStyle="1" w:styleId="lettredate">
    <w:name w:val="lettre_date"/>
    <w:basedOn w:val="Normal"/>
    <w:pPr>
      <w:spacing w:before="100" w:beforeAutospacing="1" w:after="100" w:afterAutospacing="1"/>
    </w:pPr>
    <w:rPr>
      <w:rFonts w:ascii="Calibri" w:hAnsi="Calibri" w:cs="Calibri"/>
      <w:i/>
      <w:iCs/>
      <w:color w:val="000000"/>
      <w:sz w:val="28"/>
      <w:szCs w:val="28"/>
    </w:rPr>
  </w:style>
  <w:style w:type="paragraph" w:customStyle="1" w:styleId="texte">
    <w:name w:val="texte"/>
    <w:basedOn w:val="Normal"/>
    <w:pPr>
      <w:spacing w:before="100" w:beforeAutospacing="1" w:after="100" w:afterAutospacing="1"/>
    </w:pPr>
    <w:rPr>
      <w:rFonts w:ascii="Arial" w:hAnsi="Arial" w:cs="Arial"/>
      <w:color w:val="000000"/>
      <w:sz w:val="20"/>
      <w:szCs w:val="20"/>
    </w:rPr>
  </w:style>
  <w:style w:type="paragraph" w:customStyle="1" w:styleId="textebis">
    <w:name w:val="textebis"/>
    <w:basedOn w:val="Normal"/>
    <w:pPr>
      <w:spacing w:before="100" w:beforeAutospacing="1" w:after="100" w:afterAutospacing="1"/>
    </w:pPr>
    <w:rPr>
      <w:rFonts w:ascii="Arial" w:hAnsi="Arial" w:cs="Arial"/>
      <w:color w:val="000000"/>
      <w:sz w:val="20"/>
      <w:szCs w:val="20"/>
    </w:rPr>
  </w:style>
  <w:style w:type="paragraph" w:customStyle="1" w:styleId="textejustify">
    <w:name w:val="textejustify"/>
    <w:basedOn w:val="Normal"/>
    <w:pPr>
      <w:spacing w:before="100" w:beforeAutospacing="1" w:after="100" w:afterAutospacing="1"/>
      <w:jc w:val="both"/>
    </w:pPr>
    <w:rPr>
      <w:rFonts w:ascii="Arial" w:hAnsi="Arial" w:cs="Arial"/>
      <w:color w:val="000000"/>
      <w:sz w:val="20"/>
      <w:szCs w:val="20"/>
    </w:rPr>
  </w:style>
  <w:style w:type="paragraph" w:customStyle="1" w:styleId="signature">
    <w:name w:val="signature"/>
    <w:basedOn w:val="Normal"/>
    <w:pPr>
      <w:spacing w:before="100" w:beforeAutospacing="1" w:after="100" w:afterAutospacing="1"/>
      <w:jc w:val="right"/>
    </w:pPr>
    <w:rPr>
      <w:rFonts w:ascii="Arial" w:hAnsi="Arial" w:cs="Arial"/>
      <w:b/>
      <w:bCs/>
      <w:color w:val="000000"/>
      <w:sz w:val="21"/>
      <w:szCs w:val="21"/>
    </w:rPr>
  </w:style>
  <w:style w:type="paragraph" w:customStyle="1" w:styleId="nb">
    <w:name w:val="nb"/>
    <w:basedOn w:val="Normal"/>
    <w:pPr>
      <w:spacing w:before="100" w:beforeAutospacing="1" w:after="100" w:afterAutospacing="1"/>
    </w:pPr>
    <w:rPr>
      <w:rFonts w:ascii="Arial" w:hAnsi="Arial" w:cs="Arial"/>
      <w:i/>
      <w:iCs/>
      <w:color w:val="808080"/>
      <w:sz w:val="18"/>
      <w:szCs w:val="18"/>
    </w:rPr>
  </w:style>
  <w:style w:type="paragraph" w:styleId="NormalWeb">
    <w:name w:val="Normal (Web)"/>
    <w:basedOn w:val="Normal"/>
    <w:uiPriority w:val="99"/>
    <w:semiHidden/>
    <w:unhideWhenUsed/>
    <w:pPr>
      <w:spacing w:before="100" w:beforeAutospacing="1" w:after="100" w:afterAutospacing="1"/>
    </w:pPr>
  </w:style>
  <w:style w:type="paragraph" w:customStyle="1" w:styleId="tableauchapitre">
    <w:name w:val="tableau_chapitre"/>
    <w:basedOn w:val="Normal"/>
    <w:pPr>
      <w:spacing w:before="100" w:beforeAutospacing="1" w:after="100" w:afterAutospacing="1"/>
    </w:pPr>
    <w:rPr>
      <w:rFonts w:ascii="Arial" w:hAnsi="Arial" w:cs="Arial"/>
      <w:sz w:val="14"/>
      <w:szCs w:val="14"/>
    </w:rPr>
  </w:style>
  <w:style w:type="paragraph" w:customStyle="1" w:styleId="tableaursi">
    <w:name w:val="tableau_rsi"/>
    <w:basedOn w:val="Normal"/>
    <w:pPr>
      <w:spacing w:before="100" w:beforeAutospacing="1" w:after="100" w:afterAutospacing="1"/>
    </w:pPr>
    <w:rPr>
      <w:rFonts w:ascii="Arial" w:hAnsi="Arial" w:cs="Arial"/>
      <w:sz w:val="14"/>
      <w:szCs w:val="14"/>
    </w:rPr>
  </w:style>
  <w:style w:type="paragraph" w:customStyle="1" w:styleId="tableaulimite">
    <w:name w:val="tableau_limite"/>
    <w:basedOn w:val="Normal"/>
    <w:pPr>
      <w:spacing w:before="100" w:beforeAutospacing="1" w:after="100" w:afterAutospacing="1"/>
    </w:pPr>
    <w:rPr>
      <w:rFonts w:ascii="Arial" w:hAnsi="Arial" w:cs="Arial"/>
      <w:sz w:val="16"/>
      <w:szCs w:val="16"/>
    </w:rPr>
  </w:style>
  <w:style w:type="paragraph" w:customStyle="1" w:styleId="tableaupaie">
    <w:name w:val="tableau_paie"/>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Arial" w:hAnsi="Arial" w:cs="Arial"/>
      <w:sz w:val="14"/>
      <w:szCs w:val="14"/>
    </w:rPr>
  </w:style>
  <w:style w:type="paragraph" w:customStyle="1" w:styleId="tableaugraphique">
    <w:name w:val="tableau_graphique"/>
    <w:basedOn w:val="Normal"/>
    <w:pPr>
      <w:spacing w:before="100" w:beforeAutospacing="1" w:after="100" w:afterAutospacing="1"/>
    </w:pPr>
    <w:rPr>
      <w:rFonts w:ascii="Arial" w:hAnsi="Arial" w:cs="Arial"/>
      <w:sz w:val="14"/>
      <w:szCs w:val="14"/>
    </w:rPr>
  </w:style>
  <w:style w:type="paragraph" w:customStyle="1" w:styleId="tableausynthese">
    <w:name w:val="tableau_synthese"/>
    <w:basedOn w:val="Normal"/>
    <w:pPr>
      <w:spacing w:before="100" w:beforeAutospacing="1" w:after="100" w:afterAutospacing="1"/>
    </w:pPr>
    <w:rPr>
      <w:rFonts w:ascii="Arial" w:hAnsi="Arial" w:cs="Arial"/>
      <w:sz w:val="18"/>
      <w:szCs w:val="18"/>
    </w:rPr>
  </w:style>
  <w:style w:type="paragraph" w:customStyle="1" w:styleId="tableausynthese2">
    <w:name w:val="tableau_synthese2"/>
    <w:basedOn w:val="Normal"/>
    <w:pPr>
      <w:spacing w:before="100" w:beforeAutospacing="1" w:after="100" w:afterAutospacing="1"/>
    </w:pPr>
    <w:rPr>
      <w:rFonts w:ascii="Arial" w:hAnsi="Arial" w:cs="Arial"/>
      <w:sz w:val="18"/>
      <w:szCs w:val="18"/>
    </w:rPr>
  </w:style>
  <w:style w:type="paragraph" w:customStyle="1" w:styleId="tableausynthese3">
    <w:name w:val="tableau_synthese3"/>
    <w:basedOn w:val="Normal"/>
    <w:pPr>
      <w:spacing w:before="100" w:beforeAutospacing="1" w:after="100" w:afterAutospacing="1"/>
    </w:pPr>
    <w:rPr>
      <w:rFonts w:ascii="Arial" w:hAnsi="Arial" w:cs="Arial"/>
      <w:sz w:val="18"/>
      <w:szCs w:val="18"/>
    </w:rPr>
  </w:style>
  <w:style w:type="paragraph" w:customStyle="1" w:styleId="tableausynthese4">
    <w:name w:val="tableau_synthese4"/>
    <w:basedOn w:val="Normal"/>
    <w:pPr>
      <w:spacing w:before="100" w:beforeAutospacing="1" w:after="100" w:afterAutospacing="1"/>
    </w:pPr>
    <w:rPr>
      <w:rFonts w:ascii="Arial" w:hAnsi="Arial" w:cs="Arial"/>
      <w:sz w:val="18"/>
      <w:szCs w:val="18"/>
    </w:rPr>
  </w:style>
  <w:style w:type="paragraph" w:customStyle="1" w:styleId="tableauresultat">
    <w:name w:val="tableau_resultat"/>
    <w:basedOn w:val="Normal"/>
    <w:pPr>
      <w:spacing w:before="100" w:beforeAutospacing="1" w:after="100" w:afterAutospacing="1"/>
    </w:pPr>
    <w:rPr>
      <w:rFonts w:ascii="Arial" w:hAnsi="Arial" w:cs="Arial"/>
      <w:sz w:val="18"/>
      <w:szCs w:val="18"/>
    </w:rPr>
  </w:style>
  <w:style w:type="paragraph" w:customStyle="1" w:styleId="tableauresultat2">
    <w:name w:val="tableau_resultat2"/>
    <w:basedOn w:val="Normal"/>
    <w:pPr>
      <w:spacing w:before="100" w:beforeAutospacing="1" w:after="100" w:afterAutospacing="1"/>
    </w:pPr>
    <w:rPr>
      <w:rFonts w:ascii="Arial" w:hAnsi="Arial" w:cs="Arial"/>
      <w:sz w:val="18"/>
      <w:szCs w:val="18"/>
    </w:rPr>
  </w:style>
  <w:style w:type="paragraph" w:customStyle="1" w:styleId="tableaustandardsam">
    <w:name w:val="tableau_standard_sam"/>
    <w:basedOn w:val="Normal"/>
    <w:pPr>
      <w:spacing w:before="100" w:beforeAutospacing="1" w:after="100" w:afterAutospacing="1"/>
    </w:pPr>
    <w:rPr>
      <w:rFonts w:ascii="Arial" w:hAnsi="Arial" w:cs="Arial"/>
      <w:sz w:val="14"/>
      <w:szCs w:val="14"/>
    </w:rPr>
  </w:style>
  <w:style w:type="paragraph" w:customStyle="1" w:styleId="tableaustandardsambis">
    <w:name w:val="tableau_standard_sam_bis"/>
    <w:basedOn w:val="Normal"/>
    <w:pPr>
      <w:spacing w:before="100" w:beforeAutospacing="1" w:after="100" w:afterAutospacing="1"/>
    </w:pPr>
    <w:rPr>
      <w:rFonts w:ascii="Arial" w:hAnsi="Arial" w:cs="Arial"/>
      <w:sz w:val="14"/>
      <w:szCs w:val="14"/>
    </w:rPr>
  </w:style>
  <w:style w:type="paragraph" w:customStyle="1" w:styleId="tableaustandard">
    <w:name w:val="tableau_standard"/>
    <w:basedOn w:val="Normal"/>
    <w:pPr>
      <w:spacing w:before="100" w:beforeAutospacing="1" w:after="100" w:afterAutospacing="1"/>
    </w:pPr>
    <w:rPr>
      <w:rFonts w:ascii="Arial" w:hAnsi="Arial" w:cs="Arial"/>
      <w:sz w:val="16"/>
      <w:szCs w:val="16"/>
    </w:rPr>
  </w:style>
  <w:style w:type="paragraph" w:customStyle="1" w:styleId="tableaustandard2">
    <w:name w:val="tableau_standard2"/>
    <w:basedOn w:val="Normal"/>
    <w:pPr>
      <w:spacing w:before="100" w:beforeAutospacing="1" w:after="100" w:afterAutospacing="1"/>
    </w:pPr>
    <w:rPr>
      <w:rFonts w:ascii="Arial" w:hAnsi="Arial" w:cs="Arial"/>
      <w:sz w:val="16"/>
      <w:szCs w:val="16"/>
    </w:rPr>
  </w:style>
  <w:style w:type="paragraph" w:customStyle="1" w:styleId="tableauinvisible">
    <w:name w:val="tableau_invisible"/>
    <w:basedOn w:val="Normal"/>
    <w:pPr>
      <w:spacing w:before="100" w:beforeAutospacing="1" w:after="100" w:afterAutospacing="1"/>
    </w:pPr>
    <w:rPr>
      <w:rFonts w:ascii="Arial" w:hAnsi="Arial" w:cs="Arial"/>
      <w:sz w:val="20"/>
      <w:szCs w:val="20"/>
    </w:rPr>
  </w:style>
  <w:style w:type="paragraph" w:customStyle="1" w:styleId="tableauinvisible2">
    <w:name w:val="tableau_invisible2"/>
    <w:basedOn w:val="Normal"/>
    <w:pPr>
      <w:spacing w:before="100" w:beforeAutospacing="1" w:after="100" w:afterAutospacing="1"/>
    </w:pPr>
    <w:rPr>
      <w:rFonts w:ascii="Arial" w:hAnsi="Arial" w:cs="Arial"/>
      <w:sz w:val="20"/>
      <w:szCs w:val="20"/>
    </w:rPr>
  </w:style>
  <w:style w:type="paragraph" w:customStyle="1" w:styleId="tableauinvisible3">
    <w:name w:val="tableau_invisible3"/>
    <w:basedOn w:val="Normal"/>
    <w:pPr>
      <w:spacing w:before="100" w:beforeAutospacing="1" w:after="100" w:afterAutospacing="1"/>
    </w:pPr>
    <w:rPr>
      <w:rFonts w:ascii="Arial" w:hAnsi="Arial" w:cs="Arial"/>
      <w:sz w:val="20"/>
      <w:szCs w:val="20"/>
    </w:rPr>
  </w:style>
  <w:style w:type="paragraph" w:customStyle="1" w:styleId="tableauinvisible4">
    <w:name w:val="tableau_invisible4"/>
    <w:basedOn w:val="Normal"/>
    <w:pPr>
      <w:spacing w:before="100" w:beforeAutospacing="1" w:after="100" w:afterAutospacing="1"/>
    </w:pPr>
    <w:rPr>
      <w:rFonts w:ascii="Arial" w:hAnsi="Arial" w:cs="Arial"/>
      <w:sz w:val="18"/>
      <w:szCs w:val="18"/>
    </w:rPr>
  </w:style>
  <w:style w:type="paragraph" w:customStyle="1" w:styleId="tableauinvisible5">
    <w:name w:val="tableau_invisible5"/>
    <w:basedOn w:val="Normal"/>
    <w:pPr>
      <w:spacing w:before="100" w:beforeAutospacing="1" w:after="100" w:afterAutospacing="1"/>
    </w:pPr>
    <w:rPr>
      <w:rFonts w:ascii="Arial" w:hAnsi="Arial" w:cs="Arial"/>
      <w:sz w:val="18"/>
      <w:szCs w:val="18"/>
    </w:rPr>
  </w:style>
  <w:style w:type="paragraph" w:customStyle="1" w:styleId="tableauinvisible6">
    <w:name w:val="tableau_invisible6"/>
    <w:basedOn w:val="Normal"/>
    <w:pPr>
      <w:spacing w:before="100" w:beforeAutospacing="1" w:after="100" w:afterAutospacing="1"/>
    </w:pPr>
    <w:rPr>
      <w:rFonts w:ascii="Arial" w:hAnsi="Arial" w:cs="Arial"/>
      <w:sz w:val="20"/>
      <w:szCs w:val="20"/>
    </w:rPr>
  </w:style>
  <w:style w:type="paragraph" w:customStyle="1" w:styleId="tableauretraite">
    <w:name w:val="tableau_retraite"/>
    <w:basedOn w:val="Normal"/>
    <w:pPr>
      <w:spacing w:before="100" w:beforeAutospacing="1" w:after="100" w:afterAutospacing="1"/>
    </w:pPr>
    <w:rPr>
      <w:rFonts w:ascii="Arial" w:hAnsi="Arial" w:cs="Arial"/>
      <w:sz w:val="20"/>
      <w:szCs w:val="20"/>
    </w:rPr>
  </w:style>
  <w:style w:type="paragraph" w:customStyle="1" w:styleId="tableauretraitebis">
    <w:name w:val="tableau_retraitebis"/>
    <w:basedOn w:val="Normal"/>
    <w:pPr>
      <w:spacing w:before="100" w:beforeAutospacing="1" w:after="100" w:afterAutospacing="1"/>
    </w:pPr>
    <w:rPr>
      <w:rFonts w:ascii="Arial" w:hAnsi="Arial" w:cs="Arial"/>
      <w:sz w:val="20"/>
      <w:szCs w:val="20"/>
    </w:rPr>
  </w:style>
  <w:style w:type="paragraph" w:customStyle="1" w:styleId="tableauretraiteter">
    <w:name w:val="tableau_retraite_ter"/>
    <w:basedOn w:val="Normal"/>
    <w:pPr>
      <w:spacing w:before="100" w:beforeAutospacing="1" w:after="100" w:afterAutospacing="1"/>
    </w:pPr>
    <w:rPr>
      <w:rFonts w:ascii="Arial" w:hAnsi="Arial" w:cs="Arial"/>
      <w:sz w:val="20"/>
      <w:szCs w:val="20"/>
    </w:rPr>
  </w:style>
  <w:style w:type="paragraph" w:customStyle="1" w:styleId="tableauretraitequater">
    <w:name w:val="tableau_retraite_quat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20"/>
      <w:szCs w:val="20"/>
    </w:rPr>
  </w:style>
  <w:style w:type="paragraph" w:customStyle="1" w:styleId="tableauinvisibletitre">
    <w:name w:val="tableau_invisible_titre"/>
    <w:basedOn w:val="Normal"/>
    <w:pPr>
      <w:spacing w:before="100" w:beforeAutospacing="1" w:after="100" w:afterAutospacing="1"/>
    </w:pPr>
  </w:style>
  <w:style w:type="paragraph" w:customStyle="1" w:styleId="tableauavisir">
    <w:name w:val="tableau_avisir"/>
    <w:basedOn w:val="Normal"/>
    <w:pPr>
      <w:spacing w:before="100" w:beforeAutospacing="1" w:after="100" w:afterAutospacing="1"/>
    </w:pPr>
    <w:rPr>
      <w:rFonts w:ascii="Arial" w:hAnsi="Arial" w:cs="Arial"/>
      <w:sz w:val="18"/>
      <w:szCs w:val="18"/>
    </w:rPr>
  </w:style>
  <w:style w:type="paragraph" w:customStyle="1" w:styleId="tableauepargne">
    <w:name w:val="tableau_epargne"/>
    <w:basedOn w:val="Normal"/>
    <w:pPr>
      <w:pBdr>
        <w:top w:val="single" w:sz="12" w:space="0" w:color="808080"/>
        <w:left w:val="single" w:sz="12" w:space="0" w:color="808080"/>
        <w:bottom w:val="single" w:sz="12" w:space="0" w:color="808080"/>
        <w:right w:val="single" w:sz="12" w:space="0" w:color="808080"/>
      </w:pBdr>
      <w:shd w:val="clear" w:color="auto" w:fill="F2F2F2"/>
      <w:spacing w:before="100" w:beforeAutospacing="1" w:after="100" w:afterAutospacing="1"/>
    </w:pPr>
    <w:rPr>
      <w:rFonts w:ascii="Arial" w:hAnsi="Arial" w:cs="Arial"/>
      <w:sz w:val="18"/>
      <w:szCs w:val="18"/>
    </w:rPr>
  </w:style>
  <w:style w:type="character" w:customStyle="1" w:styleId="droite">
    <w:name w:val="droite"/>
    <w:basedOn w:val="Policepardfaut"/>
  </w:style>
  <w:style w:type="character" w:customStyle="1" w:styleId="gauche">
    <w:name w:val="gauche"/>
    <w:basedOn w:val="Policepardfaut"/>
  </w:style>
  <w:style w:type="paragraph" w:customStyle="1" w:styleId="annexester1">
    <w:name w:val="annexester1"/>
    <w:basedOn w:val="Normal"/>
    <w:pPr>
      <w:shd w:val="clear" w:color="auto" w:fill="FFFFFF"/>
      <w:spacing w:before="100" w:beforeAutospacing="1" w:after="100" w:afterAutospacing="1"/>
      <w:jc w:val="right"/>
    </w:pPr>
    <w:rPr>
      <w:rFonts w:ascii="Calibri" w:hAnsi="Calibri" w:cs="Calibri"/>
      <w:color w:val="808080"/>
      <w:sz w:val="52"/>
      <w:szCs w:val="52"/>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61237">
      <w:marLeft w:val="0"/>
      <w:marRight w:val="0"/>
      <w:marTop w:val="0"/>
      <w:marBottom w:val="0"/>
      <w:divBdr>
        <w:top w:val="none" w:sz="0" w:space="0" w:color="auto"/>
        <w:left w:val="none" w:sz="0" w:space="0" w:color="auto"/>
        <w:bottom w:val="none" w:sz="0" w:space="0" w:color="auto"/>
        <w:right w:val="none" w:sz="0" w:space="0" w:color="auto"/>
      </w:divBdr>
      <w:divsChild>
        <w:div w:id="1672172335">
          <w:marLeft w:val="0"/>
          <w:marRight w:val="0"/>
          <w:marTop w:val="0"/>
          <w:marBottom w:val="0"/>
          <w:divBdr>
            <w:top w:val="none" w:sz="0" w:space="0" w:color="auto"/>
            <w:left w:val="none" w:sz="0" w:space="0" w:color="auto"/>
            <w:bottom w:val="none" w:sz="0" w:space="0" w:color="auto"/>
            <w:right w:val="none" w:sz="0" w:space="0" w:color="auto"/>
          </w:divBdr>
          <w:divsChild>
            <w:div w:id="20683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Etude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dc:title>
  <dc:subject/>
  <dc:creator>ANNEXE CHRIS</dc:creator>
  <cp:keywords/>
  <dc:description/>
  <cp:lastModifiedBy>ANNEXE CHRIS</cp:lastModifiedBy>
  <cp:revision>2</cp:revision>
  <dcterms:created xsi:type="dcterms:W3CDTF">2018-06-13T14:41:00Z</dcterms:created>
  <dcterms:modified xsi:type="dcterms:W3CDTF">2018-06-13T14:41:00Z</dcterms:modified>
</cp:coreProperties>
</file>